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A8432" w14:textId="0835D895" w:rsidR="003B1B61" w:rsidRDefault="003B1B61" w:rsidP="003B1B61">
      <w:pPr>
        <w:jc w:val="center"/>
        <w:rPr>
          <w:u w:val="single"/>
        </w:rPr>
      </w:pPr>
      <w:r w:rsidRPr="003B1B61">
        <w:rPr>
          <w:u w:val="single"/>
        </w:rPr>
        <w:t>Compte Rendu Du Conseil D’Administration Du 19/09/24</w:t>
      </w:r>
    </w:p>
    <w:p w14:paraId="0715F2EC" w14:textId="77777777" w:rsidR="003B1B61" w:rsidRPr="003B1B61" w:rsidRDefault="003B1B61" w:rsidP="003B1B61">
      <w:pPr>
        <w:jc w:val="center"/>
        <w:rPr>
          <w:u w:val="single"/>
        </w:rPr>
      </w:pPr>
    </w:p>
    <w:p w14:paraId="039474B0" w14:textId="305BABFC" w:rsidR="003B1B61" w:rsidRPr="003B1B61" w:rsidRDefault="007A0D16" w:rsidP="001C792C">
      <w:pPr>
        <w:pStyle w:val="Paragraphedeliste"/>
        <w:numPr>
          <w:ilvl w:val="0"/>
          <w:numId w:val="7"/>
        </w:numPr>
      </w:pPr>
      <w:r w:rsidRPr="003B1B61">
        <w:rPr>
          <w:u w:val="single"/>
        </w:rPr>
        <w:t>Point adhésions</w:t>
      </w:r>
      <w:r w:rsidRPr="003B1B61">
        <w:t xml:space="preserve"> :</w:t>
      </w:r>
    </w:p>
    <w:p w14:paraId="28DF34A8" w14:textId="77777777" w:rsidR="003B1B61" w:rsidRDefault="003B1B61" w:rsidP="003B1B61">
      <w:pPr>
        <w:jc w:val="both"/>
      </w:pPr>
      <w:r w:rsidRPr="003B1B61">
        <w:t xml:space="preserve">Lors de la réunion, plusieurs points ont été abordés concernant le développement de l'ADEL. </w:t>
      </w:r>
    </w:p>
    <w:p w14:paraId="4904E481" w14:textId="77777777" w:rsidR="003B1B61" w:rsidRDefault="003B1B61" w:rsidP="003B1B61">
      <w:pPr>
        <w:jc w:val="both"/>
      </w:pPr>
      <w:r w:rsidRPr="003B1B61">
        <w:t xml:space="preserve">Tout d'abord, il a été rappelé que JPB et Philippe doivent finaliser les relances d'adhésions en cours. </w:t>
      </w:r>
    </w:p>
    <w:p w14:paraId="48D1F0D5" w14:textId="77777777" w:rsidR="003B1B61" w:rsidRDefault="003B1B61" w:rsidP="003B1B61">
      <w:pPr>
        <w:jc w:val="both"/>
      </w:pPr>
      <w:r w:rsidRPr="003B1B61">
        <w:t xml:space="preserve">Concernant les futurs prospects, une liste des membres de Mobiliance a été obtenue, et il est prévu d'envoyer un courrier proposant une offre exceptionnelle pour la première année aux adhérents de cette organisation. </w:t>
      </w:r>
    </w:p>
    <w:p w14:paraId="594066AA" w14:textId="77777777" w:rsidR="003B1B61" w:rsidRDefault="003B1B61" w:rsidP="003B1B61">
      <w:pPr>
        <w:jc w:val="both"/>
      </w:pPr>
      <w:r w:rsidRPr="003B1B61">
        <w:t xml:space="preserve">La mobilisation des membres a également été discutée, avec l'objectif d'encourager nos adhérents actuels à recruter de nouveaux membres pour l'association. Par ailleurs, José a pris contact avec les administrateurs du groupe Facebook des laveurs et nous sommes en attente de leur réponse afin d'obtenir l'autorisation de communiquer via leur page. </w:t>
      </w:r>
    </w:p>
    <w:p w14:paraId="190EE178" w14:textId="3910EC27" w:rsidR="003B1B61" w:rsidRDefault="003B1B61" w:rsidP="003B1B61">
      <w:pPr>
        <w:jc w:val="both"/>
      </w:pPr>
      <w:r w:rsidRPr="003B1B61">
        <w:t>Enfin, Philippe a proposé de contacter les entreprises spécialisées dans les portiques et la chimie pour identifier des laveurs susceptibles de devenir des adhérents actifs de l'ADEL.</w:t>
      </w:r>
    </w:p>
    <w:p w14:paraId="51DE7A2B" w14:textId="77777777" w:rsidR="003B1B61" w:rsidRDefault="003B1B61" w:rsidP="003B1B61">
      <w:pPr>
        <w:jc w:val="both"/>
      </w:pPr>
    </w:p>
    <w:p w14:paraId="6A06D188" w14:textId="7E9127A6" w:rsidR="003B1B61" w:rsidRPr="001C792C" w:rsidRDefault="003B1B61" w:rsidP="003B1B61">
      <w:pPr>
        <w:pStyle w:val="Paragraphedeliste"/>
        <w:numPr>
          <w:ilvl w:val="0"/>
          <w:numId w:val="7"/>
        </w:numPr>
        <w:jc w:val="both"/>
      </w:pPr>
      <w:r w:rsidRPr="003B1B61">
        <w:rPr>
          <w:u w:val="single"/>
        </w:rPr>
        <w:t xml:space="preserve">Point </w:t>
      </w:r>
      <w:r w:rsidRPr="003B1B61">
        <w:rPr>
          <w:u w:val="single"/>
        </w:rPr>
        <w:t>sur les partenaires</w:t>
      </w:r>
    </w:p>
    <w:p w14:paraId="373C0AB3" w14:textId="77777777" w:rsidR="001C792C" w:rsidRPr="003B1B61" w:rsidRDefault="001C792C" w:rsidP="001C792C">
      <w:pPr>
        <w:pStyle w:val="Paragraphedeliste"/>
        <w:jc w:val="both"/>
      </w:pPr>
    </w:p>
    <w:p w14:paraId="7C15FA96" w14:textId="1B80FEAA" w:rsidR="007A0D16" w:rsidRPr="007A0D16" w:rsidRDefault="007A0D16" w:rsidP="003B1B61">
      <w:pPr>
        <w:pStyle w:val="Paragraphedeliste"/>
        <w:numPr>
          <w:ilvl w:val="0"/>
          <w:numId w:val="8"/>
        </w:numPr>
        <w:jc w:val="both"/>
      </w:pPr>
      <w:r w:rsidRPr="003B1B61">
        <w:rPr>
          <w:b/>
          <w:bCs/>
        </w:rPr>
        <w:t>360 :</w:t>
      </w:r>
      <w:r w:rsidRPr="007A0D16">
        <w:t> D’accord pour renouveler le partenariat, mais à un montant inférieur.</w:t>
      </w:r>
    </w:p>
    <w:p w14:paraId="723B3623" w14:textId="77777777" w:rsidR="007A0D16" w:rsidRPr="007A0D16" w:rsidRDefault="007A0D16" w:rsidP="007A0D16">
      <w:pPr>
        <w:numPr>
          <w:ilvl w:val="0"/>
          <w:numId w:val="2"/>
        </w:numPr>
      </w:pPr>
      <w:r w:rsidRPr="007A0D16">
        <w:rPr>
          <w:b/>
          <w:bCs/>
        </w:rPr>
        <w:t>Kärcher :</w:t>
      </w:r>
      <w:r w:rsidRPr="007A0D16">
        <w:t> Même situation, discussions en cours avec JPB.</w:t>
      </w:r>
    </w:p>
    <w:p w14:paraId="6498E169" w14:textId="77777777" w:rsidR="007A0D16" w:rsidRPr="007A0D16" w:rsidRDefault="007A0D16" w:rsidP="007A0D16">
      <w:pPr>
        <w:numPr>
          <w:ilvl w:val="0"/>
          <w:numId w:val="2"/>
        </w:numPr>
      </w:pPr>
      <w:proofErr w:type="spellStart"/>
      <w:r w:rsidRPr="007A0D16">
        <w:rPr>
          <w:b/>
          <w:bCs/>
        </w:rPr>
        <w:t>Washtec</w:t>
      </w:r>
      <w:proofErr w:type="spellEnd"/>
      <w:r w:rsidRPr="007A0D16">
        <w:rPr>
          <w:b/>
          <w:bCs/>
        </w:rPr>
        <w:t xml:space="preserve"> :</w:t>
      </w:r>
      <w:r w:rsidRPr="007A0D16">
        <w:t> En discussion avec JPB.</w:t>
      </w:r>
    </w:p>
    <w:p w14:paraId="580C6D5B" w14:textId="77777777" w:rsidR="007A0D16" w:rsidRPr="007A0D16" w:rsidRDefault="007A0D16" w:rsidP="007A0D16">
      <w:pPr>
        <w:numPr>
          <w:ilvl w:val="0"/>
          <w:numId w:val="2"/>
        </w:numPr>
      </w:pPr>
      <w:proofErr w:type="spellStart"/>
      <w:r w:rsidRPr="007A0D16">
        <w:rPr>
          <w:b/>
          <w:bCs/>
        </w:rPr>
        <w:t>Mafra</w:t>
      </w:r>
      <w:proofErr w:type="spellEnd"/>
      <w:r w:rsidRPr="007A0D16">
        <w:rPr>
          <w:b/>
          <w:bCs/>
        </w:rPr>
        <w:t xml:space="preserve"> :</w:t>
      </w:r>
      <w:r w:rsidRPr="007A0D16">
        <w:t> S’interroge sur l’intérêt de devenir partenaire.</w:t>
      </w:r>
    </w:p>
    <w:p w14:paraId="6FCC31B2" w14:textId="77777777" w:rsidR="007A0D16" w:rsidRPr="007A0D16" w:rsidRDefault="007A0D16" w:rsidP="007A0D16">
      <w:pPr>
        <w:numPr>
          <w:ilvl w:val="0"/>
          <w:numId w:val="2"/>
        </w:numPr>
      </w:pPr>
      <w:proofErr w:type="spellStart"/>
      <w:r w:rsidRPr="007A0D16">
        <w:rPr>
          <w:b/>
          <w:bCs/>
        </w:rPr>
        <w:t>Recyclwash</w:t>
      </w:r>
      <w:proofErr w:type="spellEnd"/>
      <w:r w:rsidRPr="007A0D16">
        <w:rPr>
          <w:b/>
          <w:bCs/>
        </w:rPr>
        <w:t xml:space="preserve"> :</w:t>
      </w:r>
      <w:r w:rsidRPr="007A0D16">
        <w:t> Accord sur le principe, mais montant à discuter.</w:t>
      </w:r>
    </w:p>
    <w:p w14:paraId="079B5A40" w14:textId="77777777" w:rsidR="007A0D16" w:rsidRPr="007A0D16" w:rsidRDefault="007A0D16" w:rsidP="007A0D16">
      <w:pPr>
        <w:numPr>
          <w:ilvl w:val="0"/>
          <w:numId w:val="2"/>
        </w:numPr>
      </w:pPr>
      <w:r w:rsidRPr="007A0D16">
        <w:rPr>
          <w:b/>
          <w:bCs/>
        </w:rPr>
        <w:t>J2F :</w:t>
      </w:r>
      <w:r w:rsidRPr="007A0D16">
        <w:t> Voir avec Philippe.</w:t>
      </w:r>
    </w:p>
    <w:p w14:paraId="6DE201F8" w14:textId="77777777" w:rsidR="007A0D16" w:rsidRPr="007A0D16" w:rsidRDefault="007A0D16" w:rsidP="007A0D16">
      <w:pPr>
        <w:numPr>
          <w:ilvl w:val="0"/>
          <w:numId w:val="2"/>
        </w:numPr>
      </w:pPr>
      <w:proofErr w:type="spellStart"/>
      <w:r w:rsidRPr="007A0D16">
        <w:rPr>
          <w:b/>
          <w:bCs/>
        </w:rPr>
        <w:t>Flowey</w:t>
      </w:r>
      <w:proofErr w:type="spellEnd"/>
      <w:r w:rsidRPr="007A0D16">
        <w:rPr>
          <w:b/>
          <w:bCs/>
        </w:rPr>
        <w:t xml:space="preserve"> :</w:t>
      </w:r>
      <w:r w:rsidRPr="007A0D16">
        <w:t> José et le directeur commercial France sont en bonne voie.</w:t>
      </w:r>
    </w:p>
    <w:p w14:paraId="12727431" w14:textId="77777777" w:rsidR="007A0D16" w:rsidRPr="007A0D16" w:rsidRDefault="007A0D16" w:rsidP="007A0D16">
      <w:pPr>
        <w:numPr>
          <w:ilvl w:val="0"/>
          <w:numId w:val="2"/>
        </w:numPr>
      </w:pPr>
      <w:r w:rsidRPr="007A0D16">
        <w:rPr>
          <w:b/>
          <w:bCs/>
        </w:rPr>
        <w:t>EAS :</w:t>
      </w:r>
      <w:r w:rsidRPr="007A0D16">
        <w:t> Accordé.</w:t>
      </w:r>
    </w:p>
    <w:p w14:paraId="4BE04142" w14:textId="77777777" w:rsidR="007A0D16" w:rsidRDefault="007A0D16" w:rsidP="007A0D16">
      <w:pPr>
        <w:numPr>
          <w:ilvl w:val="0"/>
          <w:numId w:val="2"/>
        </w:numPr>
      </w:pPr>
      <w:r w:rsidRPr="007A0D16">
        <w:rPr>
          <w:b/>
          <w:bCs/>
        </w:rPr>
        <w:t>CK Square :</w:t>
      </w:r>
      <w:r w:rsidRPr="007A0D16">
        <w:t> Voir avec JPB.</w:t>
      </w:r>
    </w:p>
    <w:p w14:paraId="27835239" w14:textId="28A687CB" w:rsidR="003B1B61" w:rsidRDefault="003B1B61" w:rsidP="001C792C">
      <w:pPr>
        <w:jc w:val="both"/>
      </w:pPr>
      <w:r w:rsidRPr="003B1B61">
        <w:rPr>
          <w:rFonts w:eastAsia="Times New Roman" w:cs="Times New Roman"/>
          <w:kern w:val="0"/>
          <w:lang w:eastAsia="fr-FR"/>
          <w14:ligatures w14:val="none"/>
        </w:rPr>
        <w:t>Concernant la politique tarifaire des partenaires, il a été noté que l'année dernière, aucune action spécifique n'a été menée pour dynamiser les relations avec les partenaires et mécènes de l'ADEL. Cette année, il est suggéré d'adopter une approche plus indulgente en ajustant les montants en fonction de l'étendue géographique de leur secteur. Trois niveaux de contribution sont proposés : 500 € pour un secteur local, 1 000 € pour un secteur régional, et 2 000 € pour un secteur national. José est en train de préparer une grille tarifaire détaillée pour les mécènes et partenaires afin de clarifier ces offres et renforcer les partenariats pour l'année à venir.</w:t>
      </w:r>
    </w:p>
    <w:p w14:paraId="7AC98491" w14:textId="77777777" w:rsidR="001C792C" w:rsidRPr="001C792C" w:rsidRDefault="001C792C" w:rsidP="001C792C">
      <w:pPr>
        <w:jc w:val="both"/>
      </w:pPr>
    </w:p>
    <w:p w14:paraId="1416A3CB" w14:textId="77777777" w:rsidR="003B1B61" w:rsidRPr="007A0D16" w:rsidRDefault="003B1B61" w:rsidP="003B1B61"/>
    <w:p w14:paraId="598DD0B9" w14:textId="0BC02A5B" w:rsidR="007A0D16" w:rsidRPr="001C792C" w:rsidRDefault="007A0D16" w:rsidP="007A0D16">
      <w:pPr>
        <w:pStyle w:val="Paragraphedeliste"/>
        <w:numPr>
          <w:ilvl w:val="0"/>
          <w:numId w:val="5"/>
        </w:numPr>
      </w:pPr>
      <w:r w:rsidRPr="001C792C">
        <w:rPr>
          <w:u w:val="single"/>
        </w:rPr>
        <w:lastRenderedPageBreak/>
        <w:t>Communication ADEL via Facebook</w:t>
      </w:r>
      <w:r w:rsidRPr="001C792C">
        <w:t xml:space="preserve"> :</w:t>
      </w:r>
    </w:p>
    <w:p w14:paraId="308D412B" w14:textId="77777777" w:rsidR="007A0D16" w:rsidRDefault="007A0D16" w:rsidP="007A0D16">
      <w:r w:rsidRPr="007A0D16">
        <w:t>L’alternant de JPB va réaliser un retour sur les récentes communications Facebook.</w:t>
      </w:r>
    </w:p>
    <w:p w14:paraId="48E9A15A" w14:textId="77777777" w:rsidR="001C792C" w:rsidRPr="007A0D16" w:rsidRDefault="001C792C" w:rsidP="007A0D16"/>
    <w:p w14:paraId="3609E10B" w14:textId="6E5B896A" w:rsidR="007A0D16" w:rsidRPr="001C792C" w:rsidRDefault="007A0D16" w:rsidP="007A0D16">
      <w:pPr>
        <w:pStyle w:val="Paragraphedeliste"/>
        <w:numPr>
          <w:ilvl w:val="0"/>
          <w:numId w:val="5"/>
        </w:numPr>
      </w:pPr>
      <w:r w:rsidRPr="001C792C">
        <w:rPr>
          <w:u w:val="single"/>
        </w:rPr>
        <w:t>Parrainage des adhérents</w:t>
      </w:r>
      <w:r w:rsidRPr="001C792C">
        <w:t xml:space="preserve"> :</w:t>
      </w:r>
    </w:p>
    <w:p w14:paraId="340B3558" w14:textId="77777777" w:rsidR="007A0D16" w:rsidRDefault="007A0D16" w:rsidP="007A0D16">
      <w:r w:rsidRPr="007A0D16">
        <w:t>Pas de parrainage prévu, faute de moyens.</w:t>
      </w:r>
    </w:p>
    <w:p w14:paraId="3475BAF4" w14:textId="77777777" w:rsidR="001C792C" w:rsidRPr="001C792C" w:rsidRDefault="001C792C" w:rsidP="007A0D16">
      <w:pPr>
        <w:rPr>
          <w:u w:val="single"/>
        </w:rPr>
      </w:pPr>
    </w:p>
    <w:p w14:paraId="2D0A3C59" w14:textId="43EF24A7" w:rsidR="007A0D16" w:rsidRPr="001C792C" w:rsidRDefault="007A0D16" w:rsidP="007A0D16">
      <w:pPr>
        <w:pStyle w:val="Paragraphedeliste"/>
        <w:numPr>
          <w:ilvl w:val="0"/>
          <w:numId w:val="5"/>
        </w:numPr>
      </w:pPr>
      <w:r w:rsidRPr="001C792C">
        <w:rPr>
          <w:u w:val="single"/>
        </w:rPr>
        <w:t>Fiche technique "Prestation éco-responsable"</w:t>
      </w:r>
      <w:r w:rsidRPr="001C792C">
        <w:t xml:space="preserve"> :</w:t>
      </w:r>
    </w:p>
    <w:p w14:paraId="7CB9F1D4" w14:textId="77777777" w:rsidR="007A0D16" w:rsidRPr="007A0D16" w:rsidRDefault="007A0D16" w:rsidP="007A0D16">
      <w:r w:rsidRPr="007A0D16">
        <w:t>Une nouvelle relecture du document est nécessaire avant sa diffusion sur le forum des adhérents.</w:t>
      </w:r>
    </w:p>
    <w:p w14:paraId="4A681F9D" w14:textId="77777777" w:rsidR="007A0D16" w:rsidRDefault="007A0D16" w:rsidP="007A0D16">
      <w:pPr>
        <w:rPr>
          <w:b/>
          <w:bCs/>
        </w:rPr>
      </w:pPr>
    </w:p>
    <w:p w14:paraId="047F4782" w14:textId="4747C8E9" w:rsidR="007A0D16" w:rsidRDefault="007A0D16" w:rsidP="007A0D16">
      <w:pPr>
        <w:pStyle w:val="Paragraphedeliste"/>
        <w:numPr>
          <w:ilvl w:val="0"/>
          <w:numId w:val="5"/>
        </w:numPr>
      </w:pPr>
      <w:r w:rsidRPr="001C792C">
        <w:rPr>
          <w:u w:val="single"/>
        </w:rPr>
        <w:t>Courrier de Maître Augier</w:t>
      </w:r>
      <w:r w:rsidRPr="001C792C">
        <w:t xml:space="preserve"> :</w:t>
      </w:r>
    </w:p>
    <w:p w14:paraId="7C36C008" w14:textId="7AF3ACE3" w:rsidR="001C792C" w:rsidRDefault="001C792C" w:rsidP="001C792C">
      <w:pPr>
        <w:jc w:val="both"/>
      </w:pPr>
      <w:r w:rsidRPr="001C792C">
        <w:t>La même stratégie de défense sera adoptée pour les différents dossiers en cours. Deux courriers devront être préparés. Le premier sera adressé aux préfectures où l'ADEL n'est pas encore inscrite au CRE, afin de demander à être officiellement invités à leurs réunions et discussions. Le second courrier sera envoyé aux 12 Agences Régionales de Santé (ARS) à travers la France pour prendre position sur la question du recyclage, notamment concernant le matériel HP et les portiques. En fonction des réponses obtenues, l'ADEL pourra soumettre une demande d’étude d'impact au ministère concerné, afin d'évaluer les conséquences économiques et écologiques des décisions prises.</w:t>
      </w:r>
    </w:p>
    <w:p w14:paraId="3266D6A1" w14:textId="77777777" w:rsidR="001C792C" w:rsidRPr="001C792C" w:rsidRDefault="001C792C" w:rsidP="001C792C">
      <w:pPr>
        <w:jc w:val="both"/>
      </w:pPr>
    </w:p>
    <w:p w14:paraId="7582A8A6" w14:textId="65258CB8" w:rsidR="007A0D16" w:rsidRPr="001C792C" w:rsidRDefault="007A0D16" w:rsidP="001C792C">
      <w:pPr>
        <w:pStyle w:val="Paragraphedeliste"/>
        <w:numPr>
          <w:ilvl w:val="0"/>
          <w:numId w:val="5"/>
        </w:numPr>
      </w:pPr>
      <w:r w:rsidRPr="001C792C">
        <w:rPr>
          <w:u w:val="single"/>
        </w:rPr>
        <w:t>Subventions pour le recyclage</w:t>
      </w:r>
      <w:r w:rsidRPr="001C792C">
        <w:t xml:space="preserve"> :</w:t>
      </w:r>
    </w:p>
    <w:p w14:paraId="308CD33B" w14:textId="77777777" w:rsidR="007A0D16" w:rsidRPr="007A0D16" w:rsidRDefault="007A0D16" w:rsidP="007A0D16">
      <w:r w:rsidRPr="007A0D16">
        <w:t>Les subventions liées au recyclage semblent gelées. Les agences de l’eau conditionnaient également ces subventions à l’utilisation exclusive des portiques et non des HP.</w:t>
      </w:r>
    </w:p>
    <w:p w14:paraId="259039B4" w14:textId="77777777" w:rsidR="007A0D16" w:rsidRPr="007A0D16" w:rsidRDefault="007A0D16" w:rsidP="007A0D16">
      <w:pPr>
        <w:numPr>
          <w:ilvl w:val="0"/>
          <w:numId w:val="4"/>
        </w:numPr>
      </w:pPr>
      <w:r w:rsidRPr="007A0D16">
        <w:rPr>
          <w:b/>
          <w:bCs/>
        </w:rPr>
        <w:t>Guillaume Roux</w:t>
      </w:r>
      <w:r w:rsidRPr="007A0D16">
        <w:t> (ALAR) : Direction.</w:t>
      </w:r>
    </w:p>
    <w:p w14:paraId="29027BDE" w14:textId="77777777" w:rsidR="007A0D16" w:rsidRPr="007A0D16" w:rsidRDefault="007A0D16" w:rsidP="007A0D16">
      <w:pPr>
        <w:numPr>
          <w:ilvl w:val="0"/>
          <w:numId w:val="4"/>
        </w:numPr>
      </w:pPr>
      <w:r w:rsidRPr="007A0D16">
        <w:rPr>
          <w:b/>
          <w:bCs/>
        </w:rPr>
        <w:t>Isabelle Kamil</w:t>
      </w:r>
      <w:r w:rsidRPr="007A0D16">
        <w:t> (Agence de l'eau) : Semble vouloir durcir les contraintes relatives à la consommation d’eau en période de crise, avec ou sans recyclage.</w:t>
      </w:r>
    </w:p>
    <w:p w14:paraId="0A76C392" w14:textId="77777777" w:rsidR="001C792C" w:rsidRDefault="007A0D16" w:rsidP="007A0D16">
      <w:pPr>
        <w:rPr>
          <w:b/>
          <w:bCs/>
        </w:rPr>
      </w:pPr>
      <w:r w:rsidRPr="007A0D16">
        <w:br/>
      </w:r>
    </w:p>
    <w:p w14:paraId="7ABA3D69" w14:textId="0319A90B" w:rsidR="0035746D" w:rsidRPr="001C792C" w:rsidRDefault="001C792C" w:rsidP="007A0D16">
      <w:pPr>
        <w:rPr>
          <w:b/>
          <w:bCs/>
        </w:rPr>
      </w:pPr>
      <w:r w:rsidRPr="001C792C">
        <w:rPr>
          <w:b/>
          <w:bCs/>
        </w:rPr>
        <w:t xml:space="preserve">Prochain Conseil d’administration le </w:t>
      </w:r>
      <w:r>
        <w:rPr>
          <w:b/>
          <w:bCs/>
        </w:rPr>
        <w:t>9</w:t>
      </w:r>
      <w:r w:rsidRPr="001C792C">
        <w:rPr>
          <w:b/>
          <w:bCs/>
        </w:rPr>
        <w:t xml:space="preserve"> </w:t>
      </w:r>
      <w:r>
        <w:rPr>
          <w:b/>
          <w:bCs/>
        </w:rPr>
        <w:t>octobre</w:t>
      </w:r>
      <w:r w:rsidRPr="001C792C">
        <w:rPr>
          <w:b/>
          <w:bCs/>
        </w:rPr>
        <w:t xml:space="preserve"> 2024 à 17h30</w:t>
      </w:r>
    </w:p>
    <w:sectPr w:rsidR="0035746D" w:rsidRPr="001C79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021B5"/>
    <w:multiLevelType w:val="multilevel"/>
    <w:tmpl w:val="C302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402AA1"/>
    <w:multiLevelType w:val="multilevel"/>
    <w:tmpl w:val="1A98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0948CE"/>
    <w:multiLevelType w:val="multilevel"/>
    <w:tmpl w:val="B7E2D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622A8B"/>
    <w:multiLevelType w:val="multilevel"/>
    <w:tmpl w:val="9EC4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8E50EA"/>
    <w:multiLevelType w:val="hybridMultilevel"/>
    <w:tmpl w:val="D930A85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3C3C0ABD"/>
    <w:multiLevelType w:val="hybridMultilevel"/>
    <w:tmpl w:val="DBDE7F4A"/>
    <w:lvl w:ilvl="0" w:tplc="8A124CBE">
      <w:numFmt w:val="bullet"/>
      <w:lvlText w:val=""/>
      <w:lvlJc w:val="left"/>
      <w:pPr>
        <w:ind w:left="720" w:hanging="360"/>
      </w:pPr>
      <w:rPr>
        <w:rFonts w:ascii="Wingdings" w:eastAsiaTheme="minorHAnsi" w:hAnsi="Wingdings"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D083E70"/>
    <w:multiLevelType w:val="hybridMultilevel"/>
    <w:tmpl w:val="14F8C2B2"/>
    <w:lvl w:ilvl="0" w:tplc="8A124CBE">
      <w:numFmt w:val="bullet"/>
      <w:lvlText w:val=""/>
      <w:lvlJc w:val="left"/>
      <w:pPr>
        <w:ind w:left="720" w:hanging="360"/>
      </w:pPr>
      <w:rPr>
        <w:rFonts w:ascii="Wingdings" w:eastAsiaTheme="minorHAnsi" w:hAnsi="Wingdings"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A57BE6"/>
    <w:multiLevelType w:val="hybridMultilevel"/>
    <w:tmpl w:val="E3C6AC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81985670">
    <w:abstractNumId w:val="3"/>
  </w:num>
  <w:num w:numId="2" w16cid:durableId="1716735798">
    <w:abstractNumId w:val="1"/>
  </w:num>
  <w:num w:numId="3" w16cid:durableId="910116671">
    <w:abstractNumId w:val="2"/>
  </w:num>
  <w:num w:numId="4" w16cid:durableId="2085562033">
    <w:abstractNumId w:val="0"/>
  </w:num>
  <w:num w:numId="5" w16cid:durableId="301277517">
    <w:abstractNumId w:val="6"/>
  </w:num>
  <w:num w:numId="6" w16cid:durableId="210387906">
    <w:abstractNumId w:val="4"/>
  </w:num>
  <w:num w:numId="7" w16cid:durableId="1358191389">
    <w:abstractNumId w:val="5"/>
  </w:num>
  <w:num w:numId="8" w16cid:durableId="4786880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D16"/>
    <w:rsid w:val="001C792C"/>
    <w:rsid w:val="0035746D"/>
    <w:rsid w:val="00385BCB"/>
    <w:rsid w:val="003B1B61"/>
    <w:rsid w:val="004337A3"/>
    <w:rsid w:val="00457D39"/>
    <w:rsid w:val="004A02EF"/>
    <w:rsid w:val="00717102"/>
    <w:rsid w:val="007A0D16"/>
    <w:rsid w:val="008D4CC5"/>
    <w:rsid w:val="009311D4"/>
    <w:rsid w:val="00A84D65"/>
    <w:rsid w:val="00AA5C52"/>
    <w:rsid w:val="00DB46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C6C72"/>
  <w15:chartTrackingRefBased/>
  <w15:docId w15:val="{FC445440-22E0-4C32-B389-67E2F80DB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A0D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A0D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A0D1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A0D1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A0D1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A0D1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A0D1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A0D1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A0D1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A0D1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A0D1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A0D1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A0D1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A0D1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A0D1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A0D1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A0D1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A0D16"/>
    <w:rPr>
      <w:rFonts w:eastAsiaTheme="majorEastAsia" w:cstheme="majorBidi"/>
      <w:color w:val="272727" w:themeColor="text1" w:themeTint="D8"/>
    </w:rPr>
  </w:style>
  <w:style w:type="paragraph" w:styleId="Titre">
    <w:name w:val="Title"/>
    <w:basedOn w:val="Normal"/>
    <w:next w:val="Normal"/>
    <w:link w:val="TitreCar"/>
    <w:uiPriority w:val="10"/>
    <w:qFormat/>
    <w:rsid w:val="007A0D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A0D1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A0D1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A0D1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A0D16"/>
    <w:pPr>
      <w:spacing w:before="160"/>
      <w:jc w:val="center"/>
    </w:pPr>
    <w:rPr>
      <w:i/>
      <w:iCs/>
      <w:color w:val="404040" w:themeColor="text1" w:themeTint="BF"/>
    </w:rPr>
  </w:style>
  <w:style w:type="character" w:customStyle="1" w:styleId="CitationCar">
    <w:name w:val="Citation Car"/>
    <w:basedOn w:val="Policepardfaut"/>
    <w:link w:val="Citation"/>
    <w:uiPriority w:val="29"/>
    <w:rsid w:val="007A0D16"/>
    <w:rPr>
      <w:i/>
      <w:iCs/>
      <w:color w:val="404040" w:themeColor="text1" w:themeTint="BF"/>
    </w:rPr>
  </w:style>
  <w:style w:type="paragraph" w:styleId="Paragraphedeliste">
    <w:name w:val="List Paragraph"/>
    <w:basedOn w:val="Normal"/>
    <w:uiPriority w:val="34"/>
    <w:qFormat/>
    <w:rsid w:val="007A0D16"/>
    <w:pPr>
      <w:ind w:left="720"/>
      <w:contextualSpacing/>
    </w:pPr>
  </w:style>
  <w:style w:type="character" w:styleId="Accentuationintense">
    <w:name w:val="Intense Emphasis"/>
    <w:basedOn w:val="Policepardfaut"/>
    <w:uiPriority w:val="21"/>
    <w:qFormat/>
    <w:rsid w:val="007A0D16"/>
    <w:rPr>
      <w:i/>
      <w:iCs/>
      <w:color w:val="0F4761" w:themeColor="accent1" w:themeShade="BF"/>
    </w:rPr>
  </w:style>
  <w:style w:type="paragraph" w:styleId="Citationintense">
    <w:name w:val="Intense Quote"/>
    <w:basedOn w:val="Normal"/>
    <w:next w:val="Normal"/>
    <w:link w:val="CitationintenseCar"/>
    <w:uiPriority w:val="30"/>
    <w:qFormat/>
    <w:rsid w:val="007A0D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A0D16"/>
    <w:rPr>
      <w:i/>
      <w:iCs/>
      <w:color w:val="0F4761" w:themeColor="accent1" w:themeShade="BF"/>
    </w:rPr>
  </w:style>
  <w:style w:type="character" w:styleId="Rfrenceintense">
    <w:name w:val="Intense Reference"/>
    <w:basedOn w:val="Policepardfaut"/>
    <w:uiPriority w:val="32"/>
    <w:qFormat/>
    <w:rsid w:val="007A0D16"/>
    <w:rPr>
      <w:b/>
      <w:bCs/>
      <w:smallCaps/>
      <w:color w:val="0F4761" w:themeColor="accent1" w:themeShade="BF"/>
      <w:spacing w:val="5"/>
    </w:rPr>
  </w:style>
  <w:style w:type="paragraph" w:styleId="NormalWeb">
    <w:name w:val="Normal (Web)"/>
    <w:basedOn w:val="Normal"/>
    <w:uiPriority w:val="99"/>
    <w:semiHidden/>
    <w:unhideWhenUsed/>
    <w:rsid w:val="003B1B61"/>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overflow-hidden">
    <w:name w:val="overflow-hidden"/>
    <w:basedOn w:val="Policepardfaut"/>
    <w:rsid w:val="003B1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1968057">
      <w:bodyDiv w:val="1"/>
      <w:marLeft w:val="0"/>
      <w:marRight w:val="0"/>
      <w:marTop w:val="0"/>
      <w:marBottom w:val="0"/>
      <w:divBdr>
        <w:top w:val="none" w:sz="0" w:space="0" w:color="auto"/>
        <w:left w:val="none" w:sz="0" w:space="0" w:color="auto"/>
        <w:bottom w:val="none" w:sz="0" w:space="0" w:color="auto"/>
        <w:right w:val="none" w:sz="0" w:space="0" w:color="auto"/>
      </w:divBdr>
    </w:div>
    <w:div w:id="547183017">
      <w:bodyDiv w:val="1"/>
      <w:marLeft w:val="0"/>
      <w:marRight w:val="0"/>
      <w:marTop w:val="0"/>
      <w:marBottom w:val="0"/>
      <w:divBdr>
        <w:top w:val="none" w:sz="0" w:space="0" w:color="auto"/>
        <w:left w:val="none" w:sz="0" w:space="0" w:color="auto"/>
        <w:bottom w:val="none" w:sz="0" w:space="0" w:color="auto"/>
        <w:right w:val="none" w:sz="0" w:space="0" w:color="auto"/>
      </w:divBdr>
    </w:div>
    <w:div w:id="866260261">
      <w:bodyDiv w:val="1"/>
      <w:marLeft w:val="0"/>
      <w:marRight w:val="0"/>
      <w:marTop w:val="0"/>
      <w:marBottom w:val="0"/>
      <w:divBdr>
        <w:top w:val="none" w:sz="0" w:space="0" w:color="auto"/>
        <w:left w:val="none" w:sz="0" w:space="0" w:color="auto"/>
        <w:bottom w:val="none" w:sz="0" w:space="0" w:color="auto"/>
        <w:right w:val="none" w:sz="0" w:space="0" w:color="auto"/>
      </w:divBdr>
    </w:div>
    <w:div w:id="1128544640">
      <w:bodyDiv w:val="1"/>
      <w:marLeft w:val="0"/>
      <w:marRight w:val="0"/>
      <w:marTop w:val="0"/>
      <w:marBottom w:val="0"/>
      <w:divBdr>
        <w:top w:val="none" w:sz="0" w:space="0" w:color="auto"/>
        <w:left w:val="none" w:sz="0" w:space="0" w:color="auto"/>
        <w:bottom w:val="none" w:sz="0" w:space="0" w:color="auto"/>
        <w:right w:val="none" w:sz="0" w:space="0" w:color="auto"/>
      </w:divBdr>
    </w:div>
    <w:div w:id="1604193717">
      <w:bodyDiv w:val="1"/>
      <w:marLeft w:val="0"/>
      <w:marRight w:val="0"/>
      <w:marTop w:val="0"/>
      <w:marBottom w:val="0"/>
      <w:divBdr>
        <w:top w:val="none" w:sz="0" w:space="0" w:color="auto"/>
        <w:left w:val="none" w:sz="0" w:space="0" w:color="auto"/>
        <w:bottom w:val="none" w:sz="0" w:space="0" w:color="auto"/>
        <w:right w:val="none" w:sz="0" w:space="0" w:color="auto"/>
      </w:divBdr>
      <w:divsChild>
        <w:div w:id="1083179909">
          <w:marLeft w:val="0"/>
          <w:marRight w:val="0"/>
          <w:marTop w:val="0"/>
          <w:marBottom w:val="0"/>
          <w:divBdr>
            <w:top w:val="none" w:sz="0" w:space="0" w:color="auto"/>
            <w:left w:val="none" w:sz="0" w:space="0" w:color="auto"/>
            <w:bottom w:val="none" w:sz="0" w:space="0" w:color="auto"/>
            <w:right w:val="none" w:sz="0" w:space="0" w:color="auto"/>
          </w:divBdr>
          <w:divsChild>
            <w:div w:id="1825975664">
              <w:marLeft w:val="0"/>
              <w:marRight w:val="0"/>
              <w:marTop w:val="0"/>
              <w:marBottom w:val="0"/>
              <w:divBdr>
                <w:top w:val="none" w:sz="0" w:space="0" w:color="auto"/>
                <w:left w:val="none" w:sz="0" w:space="0" w:color="auto"/>
                <w:bottom w:val="none" w:sz="0" w:space="0" w:color="auto"/>
                <w:right w:val="none" w:sz="0" w:space="0" w:color="auto"/>
              </w:divBdr>
              <w:divsChild>
                <w:div w:id="373970095">
                  <w:marLeft w:val="0"/>
                  <w:marRight w:val="0"/>
                  <w:marTop w:val="0"/>
                  <w:marBottom w:val="0"/>
                  <w:divBdr>
                    <w:top w:val="none" w:sz="0" w:space="0" w:color="auto"/>
                    <w:left w:val="none" w:sz="0" w:space="0" w:color="auto"/>
                    <w:bottom w:val="none" w:sz="0" w:space="0" w:color="auto"/>
                    <w:right w:val="none" w:sz="0" w:space="0" w:color="auto"/>
                  </w:divBdr>
                  <w:divsChild>
                    <w:div w:id="44153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7166">
          <w:marLeft w:val="0"/>
          <w:marRight w:val="0"/>
          <w:marTop w:val="0"/>
          <w:marBottom w:val="0"/>
          <w:divBdr>
            <w:top w:val="none" w:sz="0" w:space="0" w:color="auto"/>
            <w:left w:val="none" w:sz="0" w:space="0" w:color="auto"/>
            <w:bottom w:val="none" w:sz="0" w:space="0" w:color="auto"/>
            <w:right w:val="none" w:sz="0" w:space="0" w:color="auto"/>
          </w:divBdr>
          <w:divsChild>
            <w:div w:id="914894175">
              <w:marLeft w:val="0"/>
              <w:marRight w:val="0"/>
              <w:marTop w:val="0"/>
              <w:marBottom w:val="0"/>
              <w:divBdr>
                <w:top w:val="none" w:sz="0" w:space="0" w:color="auto"/>
                <w:left w:val="none" w:sz="0" w:space="0" w:color="auto"/>
                <w:bottom w:val="none" w:sz="0" w:space="0" w:color="auto"/>
                <w:right w:val="none" w:sz="0" w:space="0" w:color="auto"/>
              </w:divBdr>
              <w:divsChild>
                <w:div w:id="883910891">
                  <w:marLeft w:val="0"/>
                  <w:marRight w:val="0"/>
                  <w:marTop w:val="0"/>
                  <w:marBottom w:val="0"/>
                  <w:divBdr>
                    <w:top w:val="none" w:sz="0" w:space="0" w:color="auto"/>
                    <w:left w:val="none" w:sz="0" w:space="0" w:color="auto"/>
                    <w:bottom w:val="none" w:sz="0" w:space="0" w:color="auto"/>
                    <w:right w:val="none" w:sz="0" w:space="0" w:color="auto"/>
                  </w:divBdr>
                  <w:divsChild>
                    <w:div w:id="1933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557</Words>
  <Characters>3067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Comité ADEL</dc:creator>
  <cp:keywords/>
  <dc:description/>
  <cp:lastModifiedBy>Comité ADEL</cp:lastModifiedBy>
  <cp:revision>3</cp:revision>
  <dcterms:created xsi:type="dcterms:W3CDTF">2024-09-23T13:40:00Z</dcterms:created>
  <dcterms:modified xsi:type="dcterms:W3CDTF">2024-09-30T11:57:00Z</dcterms:modified>
</cp:coreProperties>
</file>